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8E" w:rsidRDefault="004B3C8E" w:rsidP="004B3C8E">
      <w:pPr>
        <w:spacing w:after="0" w:line="360" w:lineRule="auto"/>
        <w:ind w:firstLine="709"/>
        <w:jc w:val="center"/>
        <w:rPr>
          <w:rFonts w:ascii="Times New Roman" w:hAnsi="Times New Roman" w:cs="Times New Roman"/>
          <w:b/>
          <w:sz w:val="26"/>
          <w:szCs w:val="26"/>
        </w:rPr>
      </w:pPr>
      <w:r>
        <w:rPr>
          <w:noProof/>
          <w:lang w:eastAsia="ru-RU"/>
        </w:rPr>
        <w:drawing>
          <wp:inline distT="0" distB="0" distL="0" distR="0" wp14:anchorId="52503578" wp14:editId="6A2025F1">
            <wp:extent cx="3474720" cy="1685925"/>
            <wp:effectExtent l="0" t="0" r="0" b="0"/>
            <wp:docPr id="1" name="Рисунок 1" descr="C:\Documents and Settings\haustova ja\Рабочий стол\лого.png"/>
            <wp:cNvGraphicFramePr/>
            <a:graphic xmlns:a="http://schemas.openxmlformats.org/drawingml/2006/main">
              <a:graphicData uri="http://schemas.openxmlformats.org/drawingml/2006/picture">
                <pic:pic xmlns:pic="http://schemas.openxmlformats.org/drawingml/2006/picture">
                  <pic:nvPicPr>
                    <pic:cNvPr id="1" name="Рисунок 1" descr="C:\Documents and Settings\haustova ja\Рабочий стол\лого.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4720" cy="1685925"/>
                    </a:xfrm>
                    <a:prstGeom prst="rect">
                      <a:avLst/>
                    </a:prstGeom>
                    <a:noFill/>
                    <a:ln>
                      <a:noFill/>
                    </a:ln>
                  </pic:spPr>
                </pic:pic>
              </a:graphicData>
            </a:graphic>
          </wp:inline>
        </w:drawing>
      </w:r>
      <w:r w:rsidR="008B7374">
        <w:rPr>
          <w:rFonts w:ascii="Times New Roman" w:hAnsi="Times New Roman" w:cs="Times New Roman"/>
          <w:b/>
          <w:sz w:val="26"/>
          <w:szCs w:val="26"/>
        </w:rPr>
        <w:t>02.08.2019г.</w:t>
      </w:r>
      <w:bookmarkStart w:id="0" w:name="_GoBack"/>
      <w:bookmarkEnd w:id="0"/>
    </w:p>
    <w:p w:rsidR="00054B73" w:rsidRDefault="008B7374" w:rsidP="008B7374">
      <w:pPr>
        <w:spacing w:after="0" w:line="360" w:lineRule="auto"/>
        <w:ind w:firstLine="709"/>
        <w:rPr>
          <w:rFonts w:ascii="Times New Roman" w:hAnsi="Times New Roman" w:cs="Times New Roman"/>
          <w:b/>
          <w:sz w:val="26"/>
          <w:szCs w:val="26"/>
        </w:rPr>
      </w:pPr>
      <w:r>
        <w:rPr>
          <w:rFonts w:ascii="Times New Roman" w:hAnsi="Times New Roman" w:cs="Times New Roman"/>
          <w:b/>
          <w:sz w:val="26"/>
          <w:szCs w:val="26"/>
        </w:rPr>
        <w:t xml:space="preserve">                                              </w:t>
      </w:r>
      <w:r w:rsidR="00D564EF">
        <w:rPr>
          <w:rFonts w:ascii="Times New Roman" w:hAnsi="Times New Roman" w:cs="Times New Roman"/>
          <w:b/>
          <w:sz w:val="26"/>
          <w:szCs w:val="26"/>
        </w:rPr>
        <w:t>ИНФОРМАЦИЯ</w:t>
      </w:r>
    </w:p>
    <w:p w:rsidR="00054B73" w:rsidRDefault="00D564EF">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по вопросам порядка государственной регистрации прав на земельные участки, постановки на государственный кадастровый учет земельных участков</w:t>
      </w:r>
    </w:p>
    <w:p w:rsidR="00054B73" w:rsidRDefault="00054B73">
      <w:pPr>
        <w:spacing w:after="0" w:line="360" w:lineRule="auto"/>
        <w:ind w:firstLine="709"/>
        <w:jc w:val="center"/>
        <w:rPr>
          <w:rFonts w:ascii="Times New Roman" w:hAnsi="Times New Roman" w:cs="Times New Roman"/>
          <w:b/>
          <w:sz w:val="20"/>
          <w:szCs w:val="20"/>
        </w:rPr>
      </w:pP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Управление Федеральной службы государственной регистрации кадастра и картографии по Самарской области (далее – Управление) в соответствии с Земельным законодательством Российской Федерации, Федеральным законом от 13.07.2015 N 218-ФЗ "О государственной регистрации недвижимости" (далее – Закон о регистрации) и принятыми во исполнении нормативно-правовыми актами, сообщает следующее. </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Государственный кадастровый учет и (или) государственная регистрация прав осуществляются на основании </w:t>
      </w:r>
      <w:r>
        <w:rPr>
          <w:rFonts w:ascii="Times New Roman" w:hAnsi="Times New Roman" w:cs="Times New Roman"/>
          <w:i/>
          <w:sz w:val="26"/>
          <w:szCs w:val="26"/>
        </w:rPr>
        <w:t>заявления и документов</w:t>
      </w:r>
      <w:r>
        <w:rPr>
          <w:rFonts w:ascii="Times New Roman" w:hAnsi="Times New Roman" w:cs="Times New Roman"/>
          <w:sz w:val="26"/>
          <w:szCs w:val="26"/>
        </w:rPr>
        <w:t>, поступивших в орган регистрации прав в установленном Законом о регистрации порядке (статья 14 Закона о регистрации).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Форма заявления о государственном кадастровом учете и (или) государственной регистрации прав и требования к его заполнению, а также требования к формату такого заявления и представляемых с ним документов в электронной форме утверждены Приказом Минэкономразвития России от 08.12.2015 № 920.</w:t>
      </w:r>
    </w:p>
    <w:p w:rsidR="00054B73" w:rsidRDefault="00D564EF">
      <w:pPr>
        <w:spacing w:after="0" w:line="360" w:lineRule="auto"/>
        <w:ind w:firstLine="709"/>
        <w:jc w:val="both"/>
        <w:rPr>
          <w:rFonts w:ascii="Times New Roman" w:hAnsi="Times New Roman" w:cs="Times New Roman"/>
          <w:i/>
          <w:sz w:val="26"/>
          <w:szCs w:val="26"/>
        </w:rPr>
      </w:pPr>
      <w:r>
        <w:rPr>
          <w:rFonts w:ascii="Times New Roman" w:hAnsi="Times New Roman" w:cs="Times New Roman"/>
          <w:i/>
          <w:sz w:val="26"/>
          <w:szCs w:val="26"/>
        </w:rPr>
        <w:t>Порядок представления заявления и документов:</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приказом Минэкономразвития России от 26.11.2015 № 883:</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форме документов на бумажном носителе: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посредством личного обращения в орган регистрации прав, к уполномоченному лицу органа регистрации прав при выездном приеме, через МФЦ;</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посредством почтового отправления с объявленной ценностью при его пересылке, описью вложения и уведомлением о вручении;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если иное не предусмотрено федеральным законом:</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или официального сайта (</w:t>
      </w:r>
      <w:hyperlink r:id="rId9" w:history="1">
        <w:r>
          <w:rPr>
            <w:rStyle w:val="a3"/>
            <w:rFonts w:ascii="Times New Roman" w:hAnsi="Times New Roman" w:cs="Times New Roman"/>
            <w:sz w:val="26"/>
            <w:szCs w:val="26"/>
          </w:rPr>
          <w:t>www.rosreeestr.ru</w:t>
        </w:r>
      </w:hyperlink>
      <w:r>
        <w:rPr>
          <w:rFonts w:ascii="Times New Roman" w:hAnsi="Times New Roman" w:cs="Times New Roman"/>
          <w:sz w:val="26"/>
          <w:szCs w:val="26"/>
        </w:rPr>
        <w:t>), или иных информационных технологий взаимодействия с органом регистрации прав.</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личного обращения представляются независимо от места нахождения объекта недвижимости в подразделение органа регистрации прав или многофункциональный центр согласно перечню подразделений органа регистрации прав и многофункциональных центров, который опубликован на официальном сайте.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почтового отправления направляются в подразделение органа регистрации прав согласно перечню подразделений органа регистрации прав, который опубликован на официальном сайте </w:t>
      </w:r>
      <w:proofErr w:type="spellStart"/>
      <w:r>
        <w:rPr>
          <w:rFonts w:ascii="Times New Roman" w:hAnsi="Times New Roman" w:cs="Times New Roman"/>
          <w:sz w:val="26"/>
          <w:szCs w:val="26"/>
        </w:rPr>
        <w:t>Росреестра</w:t>
      </w:r>
      <w:proofErr w:type="spellEnd"/>
      <w:r>
        <w:rPr>
          <w:rFonts w:ascii="Times New Roman" w:hAnsi="Times New Roman" w:cs="Times New Roman"/>
          <w:sz w:val="26"/>
          <w:szCs w:val="26"/>
        </w:rPr>
        <w:t xml:space="preserve"> (</w:t>
      </w:r>
      <w:hyperlink r:id="rId10" w:history="1">
        <w:r>
          <w:rPr>
            <w:rStyle w:val="a3"/>
            <w:rFonts w:ascii="Times New Roman" w:hAnsi="Times New Roman" w:cs="Times New Roman"/>
            <w:sz w:val="26"/>
            <w:szCs w:val="26"/>
          </w:rPr>
          <w:t>www.rosreeestr.ru</w:t>
        </w:r>
      </w:hyperlink>
      <w:r>
        <w:rPr>
          <w:rFonts w:ascii="Times New Roman" w:hAnsi="Times New Roman" w:cs="Times New Roman"/>
          <w:sz w:val="26"/>
          <w:szCs w:val="26"/>
        </w:rPr>
        <w:t xml:space="preserve">). </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почтового отправления: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подлинность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сделка с объектом недвижимости должна быть нотариально удостоверена;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доверенность, подтверждающая полномочия лица, совершившего сделку, должна быть нотариально удостоверена, если подлежащая государственной регистрации сделка с объектом недвижимого имущества или сделка, на основании которой подлежит государственной регистрации право либо ограничение права и обременение объекта недвижимости, совершена представителем, действующим на основании доверенности;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 заявлению дополнительно прилагаются копия документа, удостоверяющего личность физического лица (правообладателя, стороны или сторон сделки, а также представителя данных лиц, если заявителем является представитель), и копия документа, удостоверяющего личность физического лица - представителя юридического лица (если правообладателем, стороной или сторонами сделки являются юридические лица).</w:t>
      </w:r>
    </w:p>
    <w:p w:rsidR="00054B73" w:rsidRDefault="00D564EF">
      <w:pPr>
        <w:spacing w:after="0" w:line="360" w:lineRule="auto"/>
        <w:ind w:firstLine="709"/>
        <w:jc w:val="both"/>
        <w:rPr>
          <w:rFonts w:ascii="Times New Roman" w:hAnsi="Times New Roman" w:cs="Times New Roman"/>
          <w:i/>
          <w:sz w:val="26"/>
          <w:szCs w:val="26"/>
        </w:rPr>
      </w:pPr>
      <w:r>
        <w:rPr>
          <w:rFonts w:ascii="Times New Roman" w:hAnsi="Times New Roman" w:cs="Times New Roman"/>
          <w:i/>
          <w:sz w:val="26"/>
          <w:szCs w:val="26"/>
        </w:rPr>
        <w:t>Документы, прилагаемые к заявлению:</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 заявлению о государственном кадастровом учете и (или) государственной регистрации прав прилагаются, если федеральным законом не установлен иной порядок представления (получения) документов и (или) содержащихся в таких документах сведений, следующие документы:</w:t>
      </w:r>
    </w:p>
    <w:p w:rsidR="00054B73" w:rsidRDefault="00D564EF">
      <w:pPr>
        <w:pStyle w:val="a4"/>
        <w:numPr>
          <w:ilvl w:val="0"/>
          <w:numId w:val="1"/>
        </w:numPr>
        <w:spacing w:after="0" w:line="360" w:lineRule="auto"/>
        <w:jc w:val="both"/>
        <w:rPr>
          <w:rFonts w:ascii="Times New Roman" w:hAnsi="Times New Roman" w:cs="Times New Roman"/>
          <w:sz w:val="26"/>
          <w:szCs w:val="26"/>
        </w:rPr>
      </w:pPr>
      <w:r>
        <w:rPr>
          <w:rFonts w:ascii="Times New Roman" w:hAnsi="Times New Roman" w:cs="Times New Roman"/>
          <w:sz w:val="26"/>
          <w:szCs w:val="26"/>
        </w:rPr>
        <w:t>документ, подтверждающий полномочия представителя заявителя (если с заявлением обращается его представитель);</w:t>
      </w:r>
    </w:p>
    <w:p w:rsidR="00054B73" w:rsidRDefault="00D564EF">
      <w:pPr>
        <w:pStyle w:val="a4"/>
        <w:numPr>
          <w:ilvl w:val="0"/>
          <w:numId w:val="1"/>
        </w:numPr>
        <w:spacing w:after="0" w:line="360" w:lineRule="auto"/>
        <w:jc w:val="both"/>
        <w:rPr>
          <w:rFonts w:ascii="Times New Roman" w:hAnsi="Times New Roman" w:cs="Times New Roman"/>
          <w:sz w:val="26"/>
          <w:szCs w:val="26"/>
        </w:rPr>
      </w:pPr>
      <w:r>
        <w:rPr>
          <w:rFonts w:ascii="Times New Roman" w:hAnsi="Times New Roman" w:cs="Times New Roman"/>
          <w:sz w:val="26"/>
          <w:szCs w:val="26"/>
        </w:rPr>
        <w:t>документы, являющиеся основанием для осуществления государственного кадастрового учета и (или) государственной регистрации прав;</w:t>
      </w:r>
    </w:p>
    <w:p w:rsidR="00054B73" w:rsidRDefault="00D564EF">
      <w:pPr>
        <w:pStyle w:val="a4"/>
        <w:numPr>
          <w:ilvl w:val="0"/>
          <w:numId w:val="1"/>
        </w:numPr>
        <w:spacing w:after="0" w:line="360" w:lineRule="auto"/>
        <w:jc w:val="both"/>
        <w:rPr>
          <w:rFonts w:ascii="Times New Roman" w:hAnsi="Times New Roman" w:cs="Times New Roman"/>
          <w:sz w:val="26"/>
          <w:szCs w:val="26"/>
        </w:rPr>
      </w:pPr>
      <w:r>
        <w:rPr>
          <w:rFonts w:ascii="Times New Roman" w:hAnsi="Times New Roman" w:cs="Times New Roman"/>
          <w:sz w:val="26"/>
          <w:szCs w:val="26"/>
        </w:rPr>
        <w:t>иные документы, предусмотренные Законом о регистрации и принятыми в соответствии с ним иными нормативными правовыми актами.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Не допускается истребование у заявителя дополнительных документов, если представленные им документы отвечают требованиям статьи 21 Закона о регистрации и требованиям принятых в соответствии с Законом о регистрации нормативных правовых актов федеральных органов исполнительной власти, если иное не установлено Законом о регистрации или иными федеральными законами.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Вместе с тем, заявитель вправе представить по собственной инициативе для осуществления государственного кадастрового учета и (или) государственной регистрации прав документы, которые в соответствии с Федеральным законом от </w:t>
      </w:r>
      <w:r>
        <w:rPr>
          <w:rFonts w:ascii="Times New Roman" w:hAnsi="Times New Roman" w:cs="Times New Roman"/>
          <w:sz w:val="26"/>
          <w:szCs w:val="26"/>
        </w:rPr>
        <w:lastRenderedPageBreak/>
        <w:t>27.07.2010 № 210-ФЗ «Об организации предоставления государственных и муниципальных услуг» представляются в порядке межведомственного информационного взаимодействия.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При представлении заявления о государственном кадастровом учете и (или) государственной регистрации прав посредством личного обращения (через Многофункциональный центр предоставления государственных и муниципальных услуг), физическое лицо предъявляет документ, удостоверяющий его личность, а представитель физического лица - также нотариально удостоверенную доверенность, подтверждающую его полномочия, если иное не установлено федеральным законом.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случае, если полномочия представителя органа государственной власти или органа местного самоуправления подтверждаются доверенностью, составленной на бланке данного органа и заверенной печатью и подписью руководителя данного органа, 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 государственную регистрацию прав взимается государственная пошлина в соответствии с Налоговым кодексом Российской Федерации (далее – Кодекс) (статья 17 Закона о регистрации).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силу подпункта 22 пункта 1 статьи 333.33 Кодекса за государственную регистрацию прав на недвижимое имущество и сделок с ним физическим лицом уплачивается государственная пошлина в размере 2000 рублей.</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 государственную регистрацию прав физического лица на земельный участок, предназначенного для ведения личного подсобного хозяйства, дачного хозяйства, огородничества, садоводства, индивидуального гаражного или индивидуального жилищного строительства, взимается государственная пошлина в размере 350 рублей.</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Обращаем внимание, что согласно части 4 статьи 333.35 Кодекса размеры государственной пошлины, за совершение юридически значимых действий в отношении физических лиц, применяются с учетом коэффициента 0,7 в случае подачи заявления о совершении указанных юридически значимых действий и уплаты соответствующей государственной пошлины с использованием единого портала государственных и муниципальных услуг, региональных порталов </w:t>
      </w:r>
      <w:r>
        <w:rPr>
          <w:rFonts w:ascii="Times New Roman" w:hAnsi="Times New Roman" w:cs="Times New Roman"/>
          <w:sz w:val="26"/>
          <w:szCs w:val="26"/>
        </w:rPr>
        <w:lastRenderedPageBreak/>
        <w:t>государственных и муниципальных услуг и иных порталов, интегрированных с единой системой идентификации и аутентификации.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Представление документа, подтверждающего внесение государственной пошлины за осуществление государственной регистрации прав, вместе с заявлением о государственном кадастровом учете и (или) государственной регистрации прав не требуется. Заявитель вправе представить такой документ по собственной инициативе.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При этом орган регистрации прав обязан возвратить заявление о государственном кадастровом учете и (или) государственной регистрации прав и документы, прилагаемые к нему, без рассмотрения, если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 (статья 25 Закона о регистрации).</w:t>
      </w:r>
    </w:p>
    <w:p w:rsidR="00054B73" w:rsidRDefault="00D564EF">
      <w:pPr>
        <w:spacing w:after="0" w:line="360" w:lineRule="auto"/>
        <w:ind w:firstLine="709"/>
        <w:jc w:val="both"/>
        <w:rPr>
          <w:rFonts w:ascii="Times New Roman" w:hAnsi="Times New Roman" w:cs="Times New Roman"/>
          <w:i/>
          <w:sz w:val="26"/>
          <w:szCs w:val="26"/>
        </w:rPr>
      </w:pPr>
      <w:r>
        <w:rPr>
          <w:rFonts w:ascii="Times New Roman" w:hAnsi="Times New Roman" w:cs="Times New Roman"/>
          <w:i/>
          <w:sz w:val="26"/>
          <w:szCs w:val="26"/>
        </w:rPr>
        <w:t>Основания для осуществления государственного кадастрового учета и (или) государственной регистрации прав.</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 частью 2 статьи 14 Закона о регистрации основаниями для осуществления государственного кадастрового учета и (или) государственной регистрации прав на земельные участки являются: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договоры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свидетельства о праве на наследство;</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вступившие в законную силу судебные акты;</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акты (свидетельства) о правах на недвижимое имущество, выданные уполномоченными органами государственной власти в порядке, установленном </w:t>
      </w:r>
      <w:r>
        <w:rPr>
          <w:rFonts w:ascii="Times New Roman" w:hAnsi="Times New Roman" w:cs="Times New Roman"/>
          <w:sz w:val="26"/>
          <w:szCs w:val="26"/>
        </w:rPr>
        <w:lastRenderedPageBreak/>
        <w:t>законодательством, действовавшим в месте издания таких актов на момент их издания;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межевой план, технический план или акт обследования, подготовленные в результате проведения кадастровых работ в установленном федеральным законом порядке, утвержденная в установленном федеральным законом порядке карта-план территории, подготовленная в результате выполнения комплексных кадастровых работ;</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схема размещения земельного участка на публичной кадастровой карте при осуществлении государственного кадастрового учета земельного участка, образуемого в целях его предоставления гражданину в безвозмездное пользование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наступление обстоятельств, указанных в Законе о регистрации.</w:t>
      </w:r>
    </w:p>
    <w:p w:rsidR="00054B73" w:rsidRDefault="00D564EF">
      <w:pPr>
        <w:spacing w:after="0" w:line="360" w:lineRule="auto"/>
        <w:ind w:firstLine="709"/>
        <w:jc w:val="both"/>
        <w:rPr>
          <w:rFonts w:ascii="Times New Roman" w:hAnsi="Times New Roman" w:cs="Times New Roman"/>
          <w:i/>
          <w:sz w:val="26"/>
          <w:szCs w:val="26"/>
        </w:rPr>
      </w:pPr>
      <w:r>
        <w:rPr>
          <w:rFonts w:ascii="Times New Roman" w:hAnsi="Times New Roman" w:cs="Times New Roman"/>
          <w:i/>
          <w:sz w:val="26"/>
          <w:szCs w:val="26"/>
        </w:rPr>
        <w:t>Требования к документам</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ЕГРН.</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Указанные документы должны содержать описание недвижимого имущества и, если иное не установлено Законом о регистрации, вид регистрируемого права, в установленных законодательством Российской Федерации случаях должны быть нотариально удостоверены, заверены печатями, должны иметь надлежащие подписи сторон или определенных законодательством Российской Федерации должностных лиц.</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Тексты документов, представляемых для осуществления государственного кадастрового учета и (или)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 жительства должны быть написаны полностью.</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Если представленные в форме документов на бумажном носителе заявление и документы имеют подчистки либо приписки, зачеркнутые слова и иные не оговоренные в них исправления, либо такие документы исполнены карандашом, имеют серьезные повреждения, которые не позволяют однозначно истолковать их содержание, то орган регистрации прав обязан возвратить такие заявление и документы, прилагаемые к нему, без рассмотрения.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Необходимые для осуществления государственной регистрации прав документы в форме документов на бумажном носителе, выражающие содержание сделки, являющейся основанием для государственной регистрации наличия, возникновения, прекращения, перехода, ограничения права и обременения недвижимого имущества, представляются: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не менее чем в двух экземплярах-подлинниках, один из которых возвращается правообладателю, второй помещается в реестровое дело, если такая сделка совершена в простой письменной форме;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не менее чем в двух экземплярах, один из которых (подлинник) возвращается правообладателю, если такая сделка совершена в нотариальной форме или право на основании такой сделки возникло до вступления в силу Федерального закона от 21.07.1997 № 122-ФЗ «О государственной регистрации прав на недвижимое имущество и сделок с ним» (т.е. до 31.01.1998).</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Межевой план, технический план, акт обследования, карта-план территории представляются в орган регистрации прав исключительно в форме электронных документов, подписанных усиленной квалифицированной электронной подписью кадастрового инженера.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Иные необходимые для осуществления государственного кадастрового учета и (или) государственной регистрации прав документы в форме документов на бумажном носителе (за исключением актов органов государственной власти, актов органов местного самоуправления, а также судебных актов, установивших права на недвижимое имущество, и заявлений) представляются не менее чем в двух экземплярах, один из которых (подлинник) после осуществления государственного кадастрового учета и (или) государственной регистрации прав должен быть возвращен заявителю.</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Копии актов органов государственной власти, актов органов местного самоуправления в форме документов на бумажном носителе, а также судебных актов, установивших права на недвижимое имущество, в форме документов на бумажном носителе представляются для осуществления государственного кадастрового учета и (или) государственной регистрации прав в одном экземпляре, который после сканирования при выдаче документов после осуществления государственного кадастрового учета и (или) государственной регистрации прав возвращается заявителю.</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Заявление о государственном кадастровом учете и (или) государственной регистрации прав в форме документа на бумажном носителе представляется в единственном экземпляре-подлиннике.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Если документы представляются для осуществления государственного кадастрового учета и (или) государственной регистрации прав в форме электронных документов, электронных образов документов такие документы представляются: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форме электронных документов, если Законом о регистрации предусмотрено, что такие документы при их представлении в форме документов на бумажном носителе должны быть представлены в подлиннике (один экземпляр таких документов должен быть подлинником), в том числе если такие документы выражают содержание нотариально удостоверенной сделки;</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 форме электронных документов или электронных образов документов, если Законом № 218-ФЗ предусмотрено, что такие документы при их представлении в форме документов на бумажном носителе могут быть представлены в виде копии без представления подлинника.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Документы,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Документы,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Сформированный комплект документов, необходимых для осуществления государственного кадастрового учета и (или) государственной регистрации прав и представляемых в форме электронных документов, электронных образов документов, должен быть подписан усиленной квалифицированной электронной подписью заявителя.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Также сообщаем, что согласно части 1 статьи 69 Закона о регистрации права на объекты недвижимости, возникшие до дня вступления в силу Федерального закона от 21 июля 1997 года N 122-ФЗ "О государственной регистрации прав на недвижимое имущество и сделок с ним", признаются юридически действительными при отсутствии их государственной регистрации в ЕГРН. Государственная регистрация таких прав в ЕГРН проводится по желанию их обладателей.</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Обращаем Ваше внимание, что в соответствии с частью 3 указанной статьи, государственная регистрация прав на объекты недвижимости в ЕГРН обязательна при государственной регистрации перехода таких прав, или совершенной после дня вступления в силу Федерального закона от 21 июля 1997 года N 122-ФЗ "О государственной регистрации прав на недвижимое имущество и сделок с ним" </w:t>
      </w:r>
      <w:r>
        <w:rPr>
          <w:rFonts w:ascii="Times New Roman" w:hAnsi="Times New Roman" w:cs="Times New Roman"/>
          <w:sz w:val="26"/>
          <w:szCs w:val="26"/>
        </w:rPr>
        <w:lastRenderedPageBreak/>
        <w:t>сделки с указанным объектом недвижимости, если иное не установлено Гражданским кодексом Российской Федерации и настоящим Федеральным законом.</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Статьей 49 Закона о регистрации установлены особенности осуществления государственной регистрации права собственности гражданина на земельный участок, предоставленный для ведения личного подсобного хозяйства, огородничества, садоводства, индивидуального гаражного или индивидуального жилищного строительства.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Согласно части 1 статьи 49 Закона о регистрации государственная регистрация права собственности гражданина на земельный участок, предоставленный до дня введения в действие Земельного кодекса Российской Федерации для ведения личного подсобного 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свидетельстве или другом документе, устанавливающих или удостоверяющих право гражданина на указанный земельный участок, не указано право, на котором предоставлен указанный земельный участок, или невозможно определить вид этого права, осуществляется на основании следующих документов:</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 акт о предоставлении такому гражданину указанного земельного участка, изданный органом государственной власти или органом местного самоуправления в пределах его компетенции и в порядке, которые установлены законодательством, действовавшим в месте издания данного акта на момент его издания;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2) акт (свидетельство) о праве такого гражданина на указанный земельный участок, выданный уполномоченным органом государственной власти в порядке, установленном законодательством, действовавшим в месте издания данного акта на момент его издания;</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выдаваемая органом местного самоуправления выписка из </w:t>
      </w:r>
      <w:proofErr w:type="spellStart"/>
      <w:r>
        <w:rPr>
          <w:rFonts w:ascii="Times New Roman" w:hAnsi="Times New Roman" w:cs="Times New Roman"/>
          <w:sz w:val="26"/>
          <w:szCs w:val="26"/>
        </w:rPr>
        <w:t>похозяйственной</w:t>
      </w:r>
      <w:proofErr w:type="spellEnd"/>
      <w:r>
        <w:rPr>
          <w:rFonts w:ascii="Times New Roman" w:hAnsi="Times New Roman" w:cs="Times New Roman"/>
          <w:sz w:val="26"/>
          <w:szCs w:val="26"/>
        </w:rPr>
        <w:t xml:space="preserve"> книги о наличии у такого гражданина права на указанный земельный участок (в случае, если этот земельный участок предоставлен для ведения личного подсобного хозяйства);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4) иной документ, устанавливающий или удостоверяющий право такого гражданина на указанный земельный участок.</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В соответствии с частью 2 статьи 49 Закона о регистрации государственная регистрация права собственности гражданина на указанный в части 1 статьи 49 Закона о регистрации земельный участок в случае, если к такому гражданину перешло в порядке наследования или по иным основаниям право собственности на расположенное на этом земельном участке здание (строение) или сооружение, осуществляется в соответствии с положениями настоящей статьи. При этом вместо документа, устанавливающего или удостоверяющего право такого гражданина на этот земельный участок, в качестве основания осуществления государственной регистрации права собственности такого гражданина на этот земельный участок могут быть представлены следующие документы:</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1) свидетельство о праве на наследство либо иной документ, устанавливающий или удостоверяющий право собственности такого гражданина на указанное здание (строение) или сооружение;</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2) один из документов, предусмотренных частью 1 статьи 49 Закона о регистрации и устанавливающих или удостоверяющих право гражданина - любого прежнего собственника указанного здания (строения) или сооружения на этот земельный участок.</w:t>
      </w:r>
    </w:p>
    <w:p w:rsidR="00054B73" w:rsidRDefault="00D564EF">
      <w:pPr>
        <w:spacing w:after="0" w:line="360" w:lineRule="auto"/>
        <w:ind w:firstLine="709"/>
        <w:jc w:val="both"/>
        <w:rPr>
          <w:rFonts w:ascii="Times New Roman" w:hAnsi="Times New Roman" w:cs="Times New Roman"/>
          <w:i/>
          <w:sz w:val="26"/>
          <w:szCs w:val="26"/>
        </w:rPr>
      </w:pPr>
      <w:r>
        <w:rPr>
          <w:rFonts w:ascii="Times New Roman" w:hAnsi="Times New Roman" w:cs="Times New Roman"/>
          <w:i/>
          <w:sz w:val="26"/>
          <w:szCs w:val="26"/>
        </w:rPr>
        <w:t>Относительно постановки земельного участка на государственный кадастровый учет, сообщаем.</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настоящее время Законом о регистрации не предусмотрены основания для приостановления государственной регистрации прав на земельные участки в связи с отсутствием в ЕГРН сведений о координатах характерных точек их границ (в связи с отсутствием "межевания"). Действующее законодательство также не содержит ограничения на совершение сделок с земельными участками, сведения о которых содержатся в ЕГРН, но границы которых не установлены в соответствии с требованиями земельного законодательства, а также какие-либо сроки, в течение которых такие границы должны быть установлены.</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При этом обращаем внимание на то, что процедура межевания осуществляется по усмотрению правообладателей таких земельных участков, и сроками не ограничиваются. </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Вместе с тем, Управление рекомендует правообладателям земельных участков, не имеющих точных границ, рассмотреть возможность проведения </w:t>
      </w:r>
      <w:r>
        <w:rPr>
          <w:rFonts w:ascii="Times New Roman" w:hAnsi="Times New Roman" w:cs="Times New Roman"/>
          <w:sz w:val="26"/>
          <w:szCs w:val="26"/>
        </w:rPr>
        <w:lastRenderedPageBreak/>
        <w:t>межевания. Внесение в ЕГРН сведений о границах избавит правообладателей от проблем из-за возможных споров, в том числе с соседями и с органами публичной власти, а также позволит использовать земельный участок в полном объеме, включая строительство на нем.</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Согласно статье 22 Закона о регистрации, межевой план представляет собой документ, который составлен на основе кадастрового плана соответствующей территории или выписки из ЕГРН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ЕГРН сведения о земельном участке или земельных участках. </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В соответствии с пунктом 7 части 2 статьи 14 Закона о регистрации межевой план, подготовленный кадастровым инженером на основании договора подряда в результате проведения кадастровых работ в установленном федеральным законом порядке, является основанием для осуществления государственного кадастрового учета.</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 целью подготовки межевого плана, Вы вправе обратиться к любому кадастровому инженеру, список которых размещен на сайте </w:t>
      </w:r>
      <w:proofErr w:type="spellStart"/>
      <w:r>
        <w:rPr>
          <w:rFonts w:ascii="Times New Roman" w:hAnsi="Times New Roman" w:cs="Times New Roman"/>
          <w:sz w:val="26"/>
          <w:szCs w:val="26"/>
        </w:rPr>
        <w:t>Росреестра</w:t>
      </w:r>
      <w:proofErr w:type="spellEnd"/>
      <w:r>
        <w:rPr>
          <w:rFonts w:ascii="Times New Roman" w:hAnsi="Times New Roman" w:cs="Times New Roman"/>
          <w:sz w:val="26"/>
          <w:szCs w:val="26"/>
        </w:rPr>
        <w:t xml:space="preserve"> </w:t>
      </w:r>
      <w:hyperlink r:id="rId11" w:history="1">
        <w:r>
          <w:rPr>
            <w:rStyle w:val="a3"/>
            <w:rFonts w:ascii="Times New Roman" w:hAnsi="Times New Roman" w:cs="Times New Roman"/>
            <w:sz w:val="26"/>
            <w:szCs w:val="26"/>
          </w:rPr>
          <w:t>www.rosreestr.ru</w:t>
        </w:r>
      </w:hyperlink>
      <w:r>
        <w:rPr>
          <w:rFonts w:ascii="Times New Roman" w:hAnsi="Times New Roman" w:cs="Times New Roman"/>
          <w:sz w:val="26"/>
          <w:szCs w:val="26"/>
        </w:rPr>
        <w:t xml:space="preserve">. </w:t>
      </w:r>
    </w:p>
    <w:p w:rsidR="00054B73" w:rsidRDefault="00D564EF">
      <w:pPr>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Размер оплаты за проведение кадастровых работ устанавливается договором подряда.</w:t>
      </w:r>
    </w:p>
    <w:sectPr w:rsidR="00054B73">
      <w:headerReference w:type="default"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A0" w:rsidRDefault="00AF49A0">
      <w:pPr>
        <w:spacing w:after="0" w:line="240" w:lineRule="auto"/>
      </w:pPr>
      <w:r>
        <w:separator/>
      </w:r>
    </w:p>
  </w:endnote>
  <w:endnote w:type="continuationSeparator" w:id="0">
    <w:p w:rsidR="00AF49A0" w:rsidRDefault="00AF4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A0" w:rsidRDefault="00AF49A0">
      <w:pPr>
        <w:spacing w:after="0" w:line="240" w:lineRule="auto"/>
      </w:pPr>
      <w:r>
        <w:separator/>
      </w:r>
    </w:p>
  </w:footnote>
  <w:footnote w:type="continuationSeparator" w:id="0">
    <w:p w:rsidR="00AF49A0" w:rsidRDefault="00AF4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792948590"/>
      <w:docPartObj>
        <w:docPartGallery w:val="Page Numbers (Top of Page)"/>
        <w:docPartUnique/>
      </w:docPartObj>
    </w:sdtPr>
    <w:sdtEndPr/>
    <w:sdtContent>
      <w:p w:rsidR="00054B73" w:rsidRDefault="00D564EF">
        <w:pPr>
          <w:pStyle w:val="a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8B7374">
          <w:rPr>
            <w:rFonts w:ascii="Times New Roman" w:hAnsi="Times New Roman" w:cs="Times New Roman"/>
            <w:noProof/>
          </w:rPr>
          <w:t>12</w:t>
        </w:r>
        <w:r>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62766619"/>
      <w:docPartObj>
        <w:docPartGallery w:val="Page Numbers (Top of Page)"/>
        <w:docPartUnique/>
      </w:docPartObj>
    </w:sdtPr>
    <w:sdtEndPr/>
    <w:sdtContent>
      <w:p w:rsidR="00054B73" w:rsidRDefault="00D564EF">
        <w:pPr>
          <w:pStyle w:val="a7"/>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8B7374">
          <w:rPr>
            <w:noProof/>
            <w:color w:val="FFFFFF" w:themeColor="background1"/>
          </w:rPr>
          <w:t>1</w:t>
        </w:r>
        <w:r>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AC6290"/>
    <w:multiLevelType w:val="hybridMultilevel"/>
    <w:tmpl w:val="08CE1EC4"/>
    <w:lvl w:ilvl="0" w:tplc="B6EC08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B73"/>
    <w:rsid w:val="00054B73"/>
    <w:rsid w:val="004B3C8E"/>
    <w:rsid w:val="005B6C55"/>
    <w:rsid w:val="008B7374"/>
    <w:rsid w:val="00AF49A0"/>
    <w:rsid w:val="00D564EF"/>
    <w:rsid w:val="00E21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412ECF-E74F-437E-9DCC-FFEEAF2F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paragraph" w:styleId="a4">
    <w:name w:val="List Paragraph"/>
    <w:basedOn w:val="a"/>
    <w:uiPriority w:val="34"/>
    <w:qFormat/>
    <w:pPr>
      <w:ind w:left="720"/>
      <w:contextualSpacing/>
    </w:p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reest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sreeestr.ru" TargetMode="External"/><Relationship Id="rId4" Type="http://schemas.openxmlformats.org/officeDocument/2006/relationships/settings" Target="settings.xml"/><Relationship Id="rId9" Type="http://schemas.openxmlformats.org/officeDocument/2006/relationships/hyperlink" Target="http://www.rosreeest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60B8F-D80C-41EE-ACBA-888A5463C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12</Pages>
  <Words>3512</Words>
  <Characters>20022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Газизова Руфия Госмановна</dc:creator>
  <cp:keywords/>
  <dc:description/>
  <cp:lastModifiedBy>Полынкова Ульяна Викторовна</cp:lastModifiedBy>
  <cp:revision>8</cp:revision>
  <cp:lastPrinted>2019-06-06T06:15:00Z</cp:lastPrinted>
  <dcterms:created xsi:type="dcterms:W3CDTF">2019-06-05T05:32:00Z</dcterms:created>
  <dcterms:modified xsi:type="dcterms:W3CDTF">2019-08-02T04:29:00Z</dcterms:modified>
</cp:coreProperties>
</file>